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FC5D42">
      <w:pPr>
        <w:jc w:val="center"/>
        <w:rPr>
          <w:b/>
          <w:sz w:val="28"/>
          <w:szCs w:val="28"/>
        </w:rPr>
      </w:pP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9B68AA">
      <w:pPr>
        <w:jc w:val="center"/>
      </w:pPr>
      <w:r>
        <w:rPr>
          <w:b/>
          <w:sz w:val="28"/>
          <w:szCs w:val="28"/>
        </w:rPr>
        <w:t>КАШАРСКОГО РАЙОНА</w:t>
      </w:r>
    </w:p>
    <w:p w:rsidR="00FC5D42" w:rsidRDefault="009B68AA">
      <w:pPr>
        <w:jc w:val="center"/>
      </w:pPr>
      <w:r>
        <w:rPr>
          <w:b/>
          <w:sz w:val="28"/>
          <w:szCs w:val="28"/>
        </w:rPr>
        <w:t>РОСТОВСКОЙ ОБЛАСТИ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9B68AA">
      <w:pPr>
        <w:tabs>
          <w:tab w:val="center" w:pos="4876"/>
          <w:tab w:val="left" w:pos="8657"/>
        </w:tabs>
      </w:pPr>
      <w:r>
        <w:rPr>
          <w:sz w:val="28"/>
          <w:szCs w:val="28"/>
        </w:rPr>
        <w:t xml:space="preserve">2018                              </w:t>
      </w:r>
      <w:r w:rsidR="002B10A1">
        <w:rPr>
          <w:sz w:val="28"/>
          <w:szCs w:val="28"/>
        </w:rPr>
        <w:t xml:space="preserve">                     с.Первомайское</w:t>
      </w:r>
      <w:r>
        <w:rPr>
          <w:sz w:val="28"/>
          <w:szCs w:val="28"/>
        </w:rPr>
        <w:t xml:space="preserve">                                      № 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br/>
        <w:t>«Обеспечение качественными жилищно-</w:t>
      </w:r>
    </w:p>
    <w:p w:rsidR="00FC5D42" w:rsidRDefault="009B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коммунальными услугами населения </w:t>
      </w:r>
    </w:p>
    <w:p w:rsidR="00FC5D42" w:rsidRDefault="00734C18"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поселения»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2B10A1">
        <w:rPr>
          <w:sz w:val="28"/>
          <w:szCs w:val="28"/>
        </w:rPr>
        <w:t xml:space="preserve"> поселения от 12.02.2018г  № 14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поселения»,</w:t>
      </w:r>
      <w:r w:rsidR="002B10A1">
        <w:rPr>
          <w:sz w:val="28"/>
          <w:szCs w:val="28"/>
        </w:rPr>
        <w:t>(в редакции постановления №85 от 24.09.2018г.)</w:t>
      </w:r>
      <w:r>
        <w:rPr>
          <w:sz w:val="28"/>
          <w:szCs w:val="28"/>
        </w:rPr>
        <w:t xml:space="preserve"> постановлением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2B10A1">
        <w:rPr>
          <w:sz w:val="28"/>
          <w:szCs w:val="28"/>
        </w:rPr>
        <w:t xml:space="preserve"> поселения» от  21.11.2018г №106</w:t>
      </w:r>
      <w:r>
        <w:rPr>
          <w:sz w:val="28"/>
          <w:szCs w:val="28"/>
        </w:rPr>
        <w:t xml:space="preserve"> «Об утверждении Перечня муниципальных программ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поселения», руководствуясь ст.30, Устава муниципального о</w:t>
      </w:r>
      <w:r w:rsidR="002B10A1">
        <w:rPr>
          <w:sz w:val="28"/>
          <w:szCs w:val="28"/>
        </w:rPr>
        <w:t>бразования «Первомайское</w:t>
      </w:r>
      <w:r>
        <w:rPr>
          <w:sz w:val="28"/>
          <w:szCs w:val="28"/>
        </w:rPr>
        <w:t xml:space="preserve"> сельское поселение».</w:t>
      </w:r>
    </w:p>
    <w:p w:rsidR="00FC5D42" w:rsidRDefault="009B68AA">
      <w:pPr>
        <w:ind w:firstLine="709"/>
        <w:jc w:val="center"/>
      </w:pPr>
      <w:r>
        <w:rPr>
          <w:sz w:val="28"/>
          <w:szCs w:val="28"/>
        </w:rPr>
        <w:t>ПОСТАНОВЛЯЮ:</w:t>
      </w:r>
    </w:p>
    <w:p w:rsidR="00FC5D42" w:rsidRDefault="00FC5D42">
      <w:pPr>
        <w:ind w:firstLine="567"/>
        <w:jc w:val="both"/>
        <w:rPr>
          <w:sz w:val="28"/>
          <w:szCs w:val="28"/>
        </w:rPr>
      </w:pPr>
    </w:p>
    <w:p w:rsidR="00FC5D42" w:rsidRDefault="009B68AA">
      <w:pPr>
        <w:jc w:val="both"/>
      </w:pPr>
      <w:r>
        <w:rPr>
          <w:sz w:val="28"/>
          <w:szCs w:val="28"/>
        </w:rPr>
        <w:t xml:space="preserve">1. Утвердить муниципальную программу «Обеспечение качественными жилищно-коммунальными услугами населения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поселения» согласно приложению № 1.</w:t>
      </w:r>
    </w:p>
    <w:p w:rsidR="00FC5D42" w:rsidRDefault="009B68AA">
      <w:pPr>
        <w:jc w:val="both"/>
      </w:pPr>
      <w:r>
        <w:rPr>
          <w:sz w:val="28"/>
          <w:szCs w:val="28"/>
        </w:rPr>
        <w:t xml:space="preserve">2. Признать утратившим силу постановления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по Перечню согласно приложению № 2.</w:t>
      </w:r>
    </w:p>
    <w:p w:rsidR="00FC5D42" w:rsidRDefault="009B68AA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</w:t>
      </w:r>
      <w:r w:rsidR="002B10A1">
        <w:rPr>
          <w:sz w:val="28"/>
          <w:szCs w:val="28"/>
        </w:rPr>
        <w:t>и на плановый период 2019 и 2030</w:t>
      </w:r>
      <w:r>
        <w:rPr>
          <w:sz w:val="28"/>
          <w:szCs w:val="28"/>
        </w:rPr>
        <w:t xml:space="preserve"> годов.</w:t>
      </w:r>
    </w:p>
    <w:p w:rsidR="00FC5D42" w:rsidRDefault="009B68AA">
      <w:pPr>
        <w:jc w:val="both"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</w:pPr>
      <w:r>
        <w:rPr>
          <w:sz w:val="28"/>
          <w:szCs w:val="28"/>
        </w:rPr>
        <w:t>Глава администрации</w:t>
      </w:r>
    </w:p>
    <w:p w:rsidR="00FC5D42" w:rsidRDefault="002B10A1">
      <w:pPr>
        <w:ind w:firstLine="709"/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__________ № ______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1817,2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835,7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478,6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502,9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1817,2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835,7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478,6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502,9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268"/>
        <w:gridCol w:w="645"/>
        <w:gridCol w:w="6302"/>
      </w:tblGrid>
      <w:tr w:rsidR="00FC5D42">
        <w:tc>
          <w:tcPr>
            <w:tcW w:w="4185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FC5D42" w:rsidRDefault="009B68AA">
            <w:r>
              <w:rPr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</w:tbl>
    <w:p w:rsidR="00FC5D42" w:rsidRDefault="00091CF8">
      <w:pPr>
        <w:jc w:val="center"/>
        <w:rPr>
          <w:sz w:val="24"/>
          <w:szCs w:val="24"/>
          <w:highlight w:val="yellow"/>
        </w:rPr>
      </w:pPr>
      <w:r w:rsidRPr="00091CF8">
        <w:rPr>
          <w:sz w:val="24"/>
        </w:rPr>
        <w:pict>
          <v:rect id="Врезка2" o:spid="_x0000_s1026" style="position:absolute;left:0;text-align:left;margin-left:2030.4pt;margin-top:.05pt;width:549.85pt;height:1293.85pt;z-index:251657728;mso-position-horizontal:right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4145"/>
                    <w:gridCol w:w="646"/>
                    <w:gridCol w:w="6149"/>
                  </w:tblGrid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 w:rsidP="0010286C">
                        <w:r>
                          <w:rPr>
                            <w:sz w:val="24"/>
                            <w:szCs w:val="24"/>
                          </w:rPr>
                          <w:t>Наименование подпрограм</w:t>
                        </w:r>
                        <w:r w:rsidR="0010286C">
                          <w:rPr>
                            <w:sz w:val="24"/>
                            <w:szCs w:val="24"/>
                          </w:rPr>
                          <w:t>мы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Первомайского сельского 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CD2B8E" w:rsidTr="0010286C">
                    <w:trPr>
                      <w:trHeight w:val="328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повышение качества и надежности предоставления коммунальных услуг населению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CD2B8E" w:rsidRDefault="00CD2B8E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повышение качества водоснабжения, водоотведения и очистки сточных вод.</w:t>
                        </w: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</w:r>
                      </w:p>
                      <w:p w:rsidR="00CD2B8E" w:rsidRDefault="00CD2B8E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водопроводных сетей, нуждающихся в замене;</w:t>
                        </w:r>
                      </w:p>
                      <w:p w:rsidR="00CD2B8E" w:rsidRDefault="00CD2B8E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            </w:r>
                      </w:p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CD2B8E" w:rsidRDefault="00CD2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CD2B8E" w:rsidRDefault="00CD2B8E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2B8E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CD2B8E" w:rsidRDefault="00CD2B8E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275,0 тыс. рублей, в том числе: 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 – 175,0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 – 50,0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50,0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CD2B8E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CD2B8E" w:rsidRDefault="00CD2B8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CD2B8E" w:rsidRDefault="00CD2B8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2B8E" w:rsidRDefault="00CD2B8E">
                  <w:pPr>
                    <w:pStyle w:val="affc"/>
                  </w:pPr>
                </w:p>
              </w:txbxContent>
            </v:textbox>
          </v:rect>
        </w:pic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 w:rsidR="00FC5D42" w:rsidRDefault="009B68AA">
      <w:pPr>
        <w:pStyle w:val="af7"/>
        <w:spacing w:line="276" w:lineRule="auto"/>
        <w:jc w:val="center"/>
      </w:pPr>
      <w:r>
        <w:t xml:space="preserve">       </w:t>
      </w:r>
      <w:r>
        <w:rPr>
          <w:sz w:val="24"/>
        </w:rPr>
        <w:t>в том числе:</w:t>
      </w:r>
    </w:p>
    <w:p w:rsidR="00FC5D42" w:rsidRDefault="0010286C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в 2019году –    835,7</w:t>
      </w:r>
      <w:r w:rsidR="009B68AA">
        <w:rPr>
          <w:sz w:val="24"/>
        </w:rPr>
        <w:t>тыс. рублей;</w:t>
      </w:r>
    </w:p>
    <w:p w:rsidR="00FC5D42" w:rsidRDefault="0010286C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2020 году –    478,6</w:t>
      </w:r>
      <w:r w:rsidR="009B68AA">
        <w:rPr>
          <w:sz w:val="24"/>
        </w:rPr>
        <w:t>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 xml:space="preserve">в 2021 </w:t>
      </w:r>
      <w:r w:rsidR="0010286C">
        <w:rPr>
          <w:sz w:val="24"/>
        </w:rPr>
        <w:t>году –    502,9</w:t>
      </w:r>
      <w:r>
        <w:rPr>
          <w:sz w:val="24"/>
        </w:rPr>
        <w:t>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Програмно-целевые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footerReference w:type="default" r:id="rId7"/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 xml:space="preserve">кмуниципальной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5"/>
        <w:gridCol w:w="1816"/>
        <w:gridCol w:w="1367"/>
        <w:gridCol w:w="829"/>
        <w:gridCol w:w="811"/>
        <w:gridCol w:w="811"/>
        <w:gridCol w:w="809"/>
        <w:gridCol w:w="810"/>
        <w:gridCol w:w="812"/>
        <w:gridCol w:w="809"/>
        <w:gridCol w:w="810"/>
        <w:gridCol w:w="810"/>
        <w:gridCol w:w="810"/>
        <w:gridCol w:w="810"/>
        <w:gridCol w:w="809"/>
        <w:gridCol w:w="810"/>
        <w:gridCol w:w="810"/>
        <w:gridCol w:w="808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2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статестический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2.1Обеспечение достижения показателей </w:t>
            </w:r>
            <w:r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lastRenderedPageBreak/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9B68A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lastRenderedPageBreak/>
        <w:br w:type="page"/>
      </w: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81"/>
        <w:gridCol w:w="3690"/>
        <w:gridCol w:w="2067"/>
        <w:gridCol w:w="1349"/>
        <w:gridCol w:w="1272"/>
        <w:gridCol w:w="2115"/>
        <w:gridCol w:w="2190"/>
        <w:gridCol w:w="2572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</w:t>
            </w:r>
            <w:r>
              <w:rPr>
                <w:spacing w:val="-10"/>
                <w:sz w:val="18"/>
                <w:szCs w:val="18"/>
              </w:rPr>
              <w:lastRenderedPageBreak/>
              <w:t xml:space="preserve">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 xml:space="preserve">снижение удовлетворенности </w:t>
            </w:r>
            <w:r>
              <w:rPr>
                <w:spacing w:val="-10"/>
                <w:sz w:val="18"/>
                <w:szCs w:val="18"/>
              </w:rPr>
              <w:lastRenderedPageBreak/>
              <w:t xml:space="preserve">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нимстрация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C07943" w:rsidRDefault="009B68AA">
      <w:pPr>
        <w:ind w:left="18428"/>
        <w:jc w:val="center"/>
        <w:rPr>
          <w:color w:val="FF0000"/>
        </w:rPr>
      </w:pPr>
      <w:r w:rsidRPr="00C07943">
        <w:rPr>
          <w:color w:val="FF0000"/>
          <w:sz w:val="24"/>
          <w:szCs w:val="24"/>
        </w:rPr>
        <w:lastRenderedPageBreak/>
        <w:t>Приложение № 3</w:t>
      </w:r>
    </w:p>
    <w:p w:rsidR="00FC5D42" w:rsidRPr="00C07943" w:rsidRDefault="009B68AA">
      <w:pPr>
        <w:ind w:left="18428"/>
        <w:jc w:val="center"/>
        <w:rPr>
          <w:color w:val="FF0000"/>
        </w:rPr>
      </w:pPr>
      <w:r w:rsidRPr="00C07943">
        <w:rPr>
          <w:color w:val="FF0000"/>
          <w:sz w:val="24"/>
          <w:szCs w:val="24"/>
        </w:rPr>
        <w:t xml:space="preserve">к муниципальной программе </w:t>
      </w:r>
      <w:r w:rsidR="00734C18" w:rsidRPr="00C07943">
        <w:rPr>
          <w:color w:val="FF0000"/>
          <w:sz w:val="24"/>
          <w:szCs w:val="24"/>
        </w:rPr>
        <w:t xml:space="preserve">Первомайского сельского </w:t>
      </w:r>
      <w:r w:rsidRPr="00C07943">
        <w:rPr>
          <w:color w:val="FF0000"/>
          <w:sz w:val="24"/>
          <w:szCs w:val="24"/>
        </w:rPr>
        <w:t xml:space="preserve">  поселения «Обеспечение качественными жилищно-коммунальными услугами </w:t>
      </w:r>
      <w:r w:rsidRPr="00C07943">
        <w:rPr>
          <w:color w:val="FF0000"/>
          <w:sz w:val="24"/>
          <w:szCs w:val="24"/>
          <w:lang w:eastAsia="en-US"/>
        </w:rPr>
        <w:t>населения</w:t>
      </w:r>
      <w:r w:rsidR="00734C18" w:rsidRPr="00C07943">
        <w:rPr>
          <w:color w:val="FF0000"/>
          <w:sz w:val="24"/>
          <w:szCs w:val="24"/>
        </w:rPr>
        <w:t xml:space="preserve">Первомайского сельского </w:t>
      </w:r>
      <w:r w:rsidRPr="00C07943">
        <w:rPr>
          <w:color w:val="FF0000"/>
          <w:sz w:val="24"/>
          <w:szCs w:val="24"/>
        </w:rPr>
        <w:t xml:space="preserve">  поселения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39"/>
        <w:gridCol w:w="3081"/>
        <w:gridCol w:w="1563"/>
        <w:gridCol w:w="561"/>
        <w:gridCol w:w="701"/>
        <w:gridCol w:w="1390"/>
        <w:gridCol w:w="563"/>
        <w:gridCol w:w="6"/>
        <w:gridCol w:w="1249"/>
        <w:gridCol w:w="7"/>
        <w:gridCol w:w="1108"/>
        <w:gridCol w:w="1118"/>
        <w:gridCol w:w="7"/>
        <w:gridCol w:w="1110"/>
        <w:gridCol w:w="7"/>
        <w:gridCol w:w="1111"/>
        <w:gridCol w:w="7"/>
        <w:gridCol w:w="1115"/>
        <w:gridCol w:w="1115"/>
        <w:gridCol w:w="1118"/>
        <w:gridCol w:w="1118"/>
        <w:gridCol w:w="1118"/>
        <w:gridCol w:w="1115"/>
        <w:gridCol w:w="1118"/>
        <w:gridCol w:w="1048"/>
      </w:tblGrid>
      <w:tr w:rsidR="00FC5D42">
        <w:trPr>
          <w:trHeight w:val="312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Наименованиемуниципальной программы, подпрограммы, номер и наименование основного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35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>
        <w:trPr>
          <w:trHeight w:val="11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>
        <w:trPr>
          <w:trHeight w:val="312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>
        <w:trPr>
          <w:trHeight w:val="156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имстрация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1817,1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F035E">
            <w:r>
              <w:t>835,7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478,6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F035E">
            <w:r>
              <w:t>502,9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24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обеспечения  качественными 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поселения»</w:t>
            </w:r>
          </w:p>
          <w:p w:rsidR="00FC5D42" w:rsidRDefault="00FC5D4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z w:val="19"/>
                <w:szCs w:val="19"/>
              </w:rPr>
              <w:t xml:space="preserve">Админимстрация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1817,1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835,7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478,6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502,9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277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z w:val="19"/>
                <w:szCs w:val="19"/>
              </w:rPr>
              <w:t xml:space="preserve">Админимстрация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12,0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4,0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4,0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23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z w:val="19"/>
                <w:szCs w:val="19"/>
              </w:rPr>
              <w:t xml:space="preserve">Админимстрация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0710020160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100,0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100,0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>
        <w:trPr>
          <w:trHeight w:val="62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z w:val="19"/>
                <w:szCs w:val="19"/>
              </w:rPr>
              <w:t xml:space="preserve">Админимстрация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C07943"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1689,6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716,1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474,6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498,9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C07943">
        <w:trPr>
          <w:trHeight w:val="624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Админимстрация  Первомайского сельского 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</w:tr>
      <w:tr w:rsidR="00FC5D42">
        <w:trPr>
          <w:trHeight w:val="251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3.2</w:t>
            </w:r>
          </w:p>
        </w:tc>
        <w:tc>
          <w:tcPr>
            <w:tcW w:w="3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outlineLvl w:val="0"/>
            </w:pPr>
            <w:r>
              <w:rPr>
                <w:spacing w:val="-10"/>
                <w:sz w:val="24"/>
                <w:szCs w:val="24"/>
              </w:rPr>
              <w:t xml:space="preserve">ОМ 2.1 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0" w:type="dxa"/>
                <w:right w:w="57" w:type="dxa"/>
              </w:tblCellMar>
              <w:tblLook w:val="00A0"/>
            </w:tblPr>
            <w:tblGrid>
              <w:gridCol w:w="2925"/>
            </w:tblGrid>
            <w:tr w:rsidR="00FC5D42">
              <w:trPr>
                <w:trHeight w:val="552"/>
                <w:tblHeader/>
              </w:trPr>
              <w:tc>
                <w:tcPr>
                  <w:tcW w:w="29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0" w:type="dxa"/>
                  </w:tcMar>
                </w:tcPr>
                <w:p w:rsidR="00FC5D42" w:rsidRDefault="009B68AA">
                  <w:r>
                    <w:rPr>
                      <w:spacing w:val="-10"/>
                      <w:sz w:val="24"/>
                      <w:szCs w:val="24"/>
                    </w:rPr>
                    <w:lastRenderedPageBreak/>
                    <w:t>Основное мероприятие 3.1.</w:t>
                  </w:r>
                </w:p>
                <w:p w:rsidR="00FC5D42" w:rsidRDefault="00FC5D42">
                  <w:pPr>
                    <w:rPr>
                      <w:spacing w:val="-10"/>
                      <w:sz w:val="24"/>
                      <w:szCs w:val="24"/>
                    </w:rPr>
                  </w:pPr>
                </w:p>
                <w:p w:rsidR="00FC5D42" w:rsidRDefault="009B68AA">
                  <w:pPr>
                    <w:pStyle w:val="af7"/>
                  </w:pPr>
                  <w:r>
                    <w:rPr>
                      <w:spacing w:val="-10"/>
                      <w:sz w:val="20"/>
                      <w:szCs w:val="24"/>
                    </w:rPr>
                    <w:t xml:space="preserve">Техническое обслуживание электрических сетей наружного (уличного) освещения </w:t>
                  </w:r>
                  <w:r w:rsidR="00734C18">
                    <w:rPr>
                      <w:spacing w:val="-10"/>
                      <w:sz w:val="20"/>
                      <w:szCs w:val="24"/>
                    </w:rPr>
                    <w:t xml:space="preserve">Первомайского сельского </w:t>
                  </w:r>
                  <w:r>
                    <w:rPr>
                      <w:spacing w:val="-10"/>
                      <w:sz w:val="20"/>
                      <w:szCs w:val="24"/>
                    </w:rPr>
                    <w:t xml:space="preserve"> поселения.</w:t>
                  </w:r>
                </w:p>
                <w:p w:rsidR="00FC5D42" w:rsidRDefault="00FC5D42">
                  <w:pPr>
                    <w:rPr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z w:val="19"/>
                <w:szCs w:val="19"/>
              </w:rPr>
              <w:lastRenderedPageBreak/>
              <w:t xml:space="preserve">Админимстрация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299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89"/>
        </w:trPr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312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</w:tbl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"/>
          <w:szCs w:val="2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br w:type="page"/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Фомино-Свечниковскоого поселения»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на реализацию муниципальной программы Фомино-Свечниковского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6"/>
        <w:gridCol w:w="2762"/>
        <w:gridCol w:w="2753"/>
        <w:gridCol w:w="1528"/>
        <w:gridCol w:w="1250"/>
        <w:gridCol w:w="1389"/>
        <w:gridCol w:w="1249"/>
        <w:gridCol w:w="1249"/>
        <w:gridCol w:w="1248"/>
        <w:gridCol w:w="1249"/>
        <w:gridCol w:w="1389"/>
        <w:gridCol w:w="1386"/>
        <w:gridCol w:w="1249"/>
        <w:gridCol w:w="1161"/>
        <w:gridCol w:w="1202"/>
        <w:gridCol w:w="1243"/>
      </w:tblGrid>
      <w:tr w:rsidR="00FC5D42">
        <w:trPr>
          <w:trHeight w:val="528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Наименованиемуниципальной программы, номер и наименование подпрограммы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3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 w:rsidR="00FC5D42">
        <w:trPr>
          <w:trHeight w:val="312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>
        <w:trPr>
          <w:trHeight w:val="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>
        <w:trPr>
          <w:trHeight w:val="31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>
        <w:trPr>
          <w:trHeight w:val="70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Фомино-Свечниковского  сельского 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43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444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87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19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99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Фомино-Свечиниковского сельского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16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46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75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93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111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>
        <w:trPr>
          <w:trHeight w:val="271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>
        <w:trPr>
          <w:trHeight w:val="147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>
        <w:trPr>
          <w:trHeight w:val="434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>
        <w:trPr>
          <w:trHeight w:val="214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 w:rsidR="00FC5D42">
        <w:trPr>
          <w:trHeight w:val="233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>
        <w:trPr>
          <w:trHeight w:val="250"/>
        </w:trPr>
        <w:tc>
          <w:tcPr>
            <w:tcW w:w="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>
        <w:trPr>
          <w:trHeight w:val="127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>
      <w:pPr>
        <w:sectPr w:rsidR="00FC5D42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Default="009B68AA">
      <w:pPr>
        <w:ind w:left="623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C5D42" w:rsidRDefault="009B68A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C5D42" w:rsidRDefault="009B68A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C5D42" w:rsidRDefault="00734C18">
      <w:pPr>
        <w:jc w:val="right"/>
      </w:pPr>
      <w:r>
        <w:rPr>
          <w:sz w:val="28"/>
          <w:szCs w:val="28"/>
        </w:rPr>
        <w:t xml:space="preserve">Первомайского сельского </w:t>
      </w:r>
      <w:r w:rsidR="009B68AA">
        <w:rPr>
          <w:sz w:val="28"/>
          <w:szCs w:val="28"/>
        </w:rPr>
        <w:t xml:space="preserve"> поселения</w:t>
      </w:r>
    </w:p>
    <w:p w:rsidR="00FC5D42" w:rsidRDefault="009B68AA">
      <w:pPr>
        <w:ind w:left="6237"/>
        <w:jc w:val="right"/>
        <w:rPr>
          <w:sz w:val="28"/>
        </w:rPr>
      </w:pPr>
      <w:r>
        <w:rPr>
          <w:sz w:val="28"/>
        </w:rPr>
        <w:t>от _________ № _____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9B6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C5D42" w:rsidRDefault="009B68AA">
      <w:pPr>
        <w:jc w:val="center"/>
      </w:pPr>
      <w:r>
        <w:rPr>
          <w:sz w:val="28"/>
          <w:szCs w:val="28"/>
        </w:rPr>
        <w:t xml:space="preserve">Постановлений Администрации 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поселения,</w:t>
      </w:r>
    </w:p>
    <w:p w:rsidR="00FC5D42" w:rsidRDefault="009B68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FC5D42" w:rsidRDefault="00FC5D42">
      <w:pPr>
        <w:ind w:firstLine="709"/>
        <w:jc w:val="both"/>
        <w:rPr>
          <w:sz w:val="28"/>
          <w:szCs w:val="28"/>
        </w:rPr>
      </w:pPr>
    </w:p>
    <w:p w:rsidR="00FC5D42" w:rsidRDefault="009B68AA">
      <w:pPr>
        <w:pStyle w:val="2"/>
        <w:ind w:left="0" w:firstLine="709"/>
        <w:jc w:val="both"/>
      </w:pPr>
      <w:r>
        <w:rPr>
          <w:szCs w:val="28"/>
          <w:lang w:eastAsia="ar-SA"/>
        </w:rPr>
        <w:t xml:space="preserve">1. </w:t>
      </w:r>
      <w:r>
        <w:rPr>
          <w:bCs/>
          <w:szCs w:val="28"/>
        </w:rPr>
        <w:t xml:space="preserve">Постановление Администрации </w:t>
      </w:r>
      <w:r w:rsidR="00734C18">
        <w:rPr>
          <w:bCs/>
          <w:szCs w:val="28"/>
        </w:rPr>
        <w:t xml:space="preserve">Первомайского сельского </w:t>
      </w:r>
      <w:r>
        <w:rPr>
          <w:bCs/>
          <w:szCs w:val="28"/>
        </w:rPr>
        <w:t xml:space="preserve"> поселения</w:t>
      </w:r>
      <w:r w:rsidR="008A0EE5">
        <w:rPr>
          <w:bCs/>
          <w:szCs w:val="28"/>
        </w:rPr>
        <w:t xml:space="preserve"> </w:t>
      </w:r>
      <w:r w:rsidR="008A0EE5">
        <w:rPr>
          <w:szCs w:val="28"/>
        </w:rPr>
        <w:t>от  10.10.2013 г№ 76</w:t>
      </w:r>
      <w:r>
        <w:rPr>
          <w:szCs w:val="28"/>
        </w:rPr>
        <w:t xml:space="preserve"> Об утверждении муниципальной программы «Обеспечение качественными жилищно-коммунальными услугами населения </w:t>
      </w:r>
      <w:r w:rsidR="00734C18">
        <w:rPr>
          <w:szCs w:val="28"/>
        </w:rPr>
        <w:t xml:space="preserve">Первомайского сельского </w:t>
      </w:r>
      <w:r>
        <w:rPr>
          <w:szCs w:val="28"/>
        </w:rPr>
        <w:t xml:space="preserve"> поселения»</w:t>
      </w:r>
    </w:p>
    <w:p w:rsidR="00FC5D42" w:rsidRDefault="009B68AA">
      <w:pPr>
        <w:ind w:firstLine="709"/>
        <w:jc w:val="both"/>
      </w:pPr>
      <w:r>
        <w:rPr>
          <w:sz w:val="28"/>
          <w:szCs w:val="28"/>
        </w:rPr>
        <w:t xml:space="preserve">2.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11.04.2014г  № 19.1</w:t>
      </w:r>
      <w:r>
        <w:rPr>
          <w:sz w:val="28"/>
          <w:szCs w:val="28"/>
        </w:rPr>
        <w:t xml:space="preserve"> 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10.10.2013г№ 76</w:t>
      </w:r>
      <w:r>
        <w:rPr>
          <w:sz w:val="28"/>
          <w:szCs w:val="28"/>
        </w:rPr>
        <w:t>»</w:t>
      </w:r>
    </w:p>
    <w:p w:rsidR="00FC5D42" w:rsidRDefault="00FC5D42">
      <w:pPr>
        <w:ind w:firstLine="709"/>
        <w:jc w:val="both"/>
        <w:rPr>
          <w:sz w:val="28"/>
          <w:szCs w:val="28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30.05.2014 № 2</w:t>
      </w:r>
      <w:r>
        <w:rPr>
          <w:sz w:val="28"/>
          <w:szCs w:val="28"/>
        </w:rPr>
        <w:t xml:space="preserve">6 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8A0EE5">
        <w:rPr>
          <w:sz w:val="28"/>
          <w:szCs w:val="28"/>
        </w:rPr>
        <w:t xml:space="preserve"> поселения от 10.10.2013г№ 76</w:t>
      </w:r>
      <w:r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8AA">
        <w:rPr>
          <w:sz w:val="28"/>
          <w:szCs w:val="28"/>
        </w:rPr>
        <w:t xml:space="preserve">4.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16.06.2014</w:t>
      </w:r>
      <w:r w:rsidR="009B68AA">
        <w:rPr>
          <w:sz w:val="28"/>
          <w:szCs w:val="28"/>
        </w:rPr>
        <w:t xml:space="preserve">г  </w:t>
      </w:r>
      <w:r>
        <w:rPr>
          <w:sz w:val="28"/>
          <w:szCs w:val="28"/>
        </w:rPr>
        <w:t>№ 32.1</w:t>
      </w:r>
      <w:r w:rsidR="009B68AA">
        <w:rPr>
          <w:sz w:val="28"/>
          <w:szCs w:val="28"/>
        </w:rPr>
        <w:t xml:space="preserve">  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8AA">
        <w:rPr>
          <w:sz w:val="28"/>
          <w:szCs w:val="28"/>
        </w:rPr>
        <w:t xml:space="preserve">5.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 30.12.2014</w:t>
      </w:r>
      <w:r w:rsidR="009B68AA">
        <w:rPr>
          <w:sz w:val="28"/>
          <w:szCs w:val="28"/>
        </w:rPr>
        <w:t>г</w:t>
      </w:r>
      <w:r>
        <w:rPr>
          <w:sz w:val="28"/>
          <w:szCs w:val="28"/>
        </w:rPr>
        <w:t xml:space="preserve">  № 88</w:t>
      </w:r>
      <w:r w:rsidR="009B68AA">
        <w:rPr>
          <w:sz w:val="28"/>
          <w:szCs w:val="28"/>
        </w:rPr>
        <w:t xml:space="preserve"> 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8AA">
        <w:rPr>
          <w:sz w:val="28"/>
          <w:szCs w:val="28"/>
        </w:rPr>
        <w:t xml:space="preserve">6.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13.03.2015г  № 10</w:t>
      </w:r>
      <w:r w:rsidR="009B68AA">
        <w:rPr>
          <w:sz w:val="28"/>
          <w:szCs w:val="28"/>
        </w:rPr>
        <w:t xml:space="preserve"> 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8AA">
        <w:rPr>
          <w:sz w:val="28"/>
          <w:szCs w:val="28"/>
        </w:rPr>
        <w:t xml:space="preserve">7.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>
        <w:rPr>
          <w:sz w:val="28"/>
          <w:szCs w:val="28"/>
        </w:rPr>
        <w:t xml:space="preserve"> поселения от 26.10.2015</w:t>
      </w:r>
      <w:r w:rsidR="00421B84">
        <w:rPr>
          <w:sz w:val="28"/>
          <w:szCs w:val="28"/>
        </w:rPr>
        <w:t xml:space="preserve">г  № 95.1 </w:t>
      </w:r>
      <w:r w:rsidR="009B68AA">
        <w:rPr>
          <w:sz w:val="28"/>
          <w:szCs w:val="28"/>
        </w:rPr>
        <w:t xml:space="preserve">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421B84">
        <w:rPr>
          <w:sz w:val="28"/>
          <w:szCs w:val="28"/>
        </w:rPr>
        <w:t xml:space="preserve"> поселения от 10.10</w:t>
      </w:r>
      <w:r w:rsidR="009B68AA">
        <w:rPr>
          <w:sz w:val="28"/>
          <w:szCs w:val="28"/>
        </w:rPr>
        <w:t>.2013г</w:t>
      </w:r>
      <w:r w:rsidR="00421B84">
        <w:rPr>
          <w:sz w:val="28"/>
          <w:szCs w:val="28"/>
        </w:rPr>
        <w:t xml:space="preserve"> № 95.1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68AA">
        <w:rPr>
          <w:sz w:val="28"/>
          <w:szCs w:val="28"/>
        </w:rPr>
        <w:t xml:space="preserve">8.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421B84">
        <w:rPr>
          <w:sz w:val="28"/>
          <w:szCs w:val="28"/>
        </w:rPr>
        <w:t xml:space="preserve"> поселения от 31.12.2015г  № 156 </w:t>
      </w:r>
      <w:r w:rsidR="009B68AA">
        <w:rPr>
          <w:sz w:val="28"/>
          <w:szCs w:val="28"/>
        </w:rPr>
        <w:t xml:space="preserve"> «О внесении изменений в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9B68AA">
        <w:rPr>
          <w:sz w:val="28"/>
          <w:szCs w:val="28"/>
        </w:rPr>
        <w:t xml:space="preserve"> поселения</w:t>
      </w:r>
      <w:r w:rsidR="00421B84">
        <w:rPr>
          <w:sz w:val="28"/>
          <w:szCs w:val="28"/>
        </w:rPr>
        <w:t xml:space="preserve"> от 10.10</w:t>
      </w:r>
      <w:r w:rsidR="009B68AA">
        <w:rPr>
          <w:sz w:val="28"/>
          <w:szCs w:val="28"/>
        </w:rPr>
        <w:t>.2013г</w:t>
      </w:r>
      <w:r w:rsidR="00421B84">
        <w:rPr>
          <w:sz w:val="28"/>
          <w:szCs w:val="28"/>
        </w:rPr>
        <w:t xml:space="preserve">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8A0EE5">
      <w:pPr>
        <w:rPr>
          <w:sz w:val="28"/>
          <w:szCs w:val="28"/>
        </w:rPr>
      </w:pPr>
      <w:bookmarkStart w:id="3" w:name="__DdeLink__3938_1416096866"/>
      <w:r>
        <w:rPr>
          <w:sz w:val="28"/>
          <w:szCs w:val="28"/>
        </w:rPr>
        <w:t xml:space="preserve">    </w:t>
      </w:r>
      <w:r w:rsidR="009B68AA">
        <w:rPr>
          <w:sz w:val="28"/>
          <w:szCs w:val="28"/>
        </w:rPr>
        <w:t xml:space="preserve">9.Постановление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421B84">
        <w:rPr>
          <w:sz w:val="28"/>
          <w:szCs w:val="28"/>
        </w:rPr>
        <w:t xml:space="preserve"> поселения от 12.02.2018г  № 21 </w:t>
      </w:r>
      <w:r w:rsidR="009B68AA">
        <w:rPr>
          <w:sz w:val="28"/>
          <w:szCs w:val="28"/>
        </w:rPr>
        <w:t xml:space="preserve">«О внесении изменений в  Постановление Администрации </w:t>
      </w:r>
      <w:r w:rsidR="00734C18">
        <w:rPr>
          <w:sz w:val="28"/>
          <w:szCs w:val="28"/>
        </w:rPr>
        <w:t xml:space="preserve">Первомайского сельского </w:t>
      </w:r>
      <w:r w:rsidR="009B68AA">
        <w:rPr>
          <w:sz w:val="28"/>
          <w:szCs w:val="28"/>
        </w:rPr>
        <w:t xml:space="preserve"> поселения от </w:t>
      </w:r>
      <w:bookmarkEnd w:id="3"/>
      <w:r w:rsidR="00421B84">
        <w:rPr>
          <w:sz w:val="28"/>
          <w:szCs w:val="28"/>
        </w:rPr>
        <w:t>10.10</w:t>
      </w:r>
      <w:r w:rsidR="009B68AA">
        <w:rPr>
          <w:sz w:val="28"/>
          <w:szCs w:val="28"/>
        </w:rPr>
        <w:t>.2013г</w:t>
      </w:r>
      <w:r w:rsidR="00421B84">
        <w:rPr>
          <w:sz w:val="28"/>
          <w:szCs w:val="28"/>
        </w:rPr>
        <w:t xml:space="preserve">  № 76</w:t>
      </w:r>
      <w:r w:rsidR="009B68AA">
        <w:rPr>
          <w:sz w:val="28"/>
          <w:szCs w:val="28"/>
        </w:rPr>
        <w:t>»</w:t>
      </w:r>
    </w:p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FC5D42" w:rsidRDefault="008A0EE5" w:rsidP="00421B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right="5499"/>
      </w:pPr>
      <w:r>
        <w:rPr>
          <w:sz w:val="28"/>
          <w:szCs w:val="28"/>
        </w:rPr>
        <w:t xml:space="preserve">Глава Администрации </w:t>
      </w:r>
      <w:r w:rsidR="00421B84">
        <w:rPr>
          <w:sz w:val="28"/>
          <w:szCs w:val="28"/>
        </w:rPr>
        <w:t>Первомайского</w:t>
      </w:r>
    </w:p>
    <w:p w:rsidR="00FC5D42" w:rsidRDefault="009B68AA">
      <w:pPr>
        <w:ind w:right="5499"/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421B84">
        <w:rPr>
          <w:sz w:val="28"/>
          <w:szCs w:val="28"/>
        </w:rPr>
        <w:t xml:space="preserve">           И.А</w:t>
      </w:r>
      <w:r>
        <w:rPr>
          <w:sz w:val="28"/>
          <w:szCs w:val="28"/>
        </w:rPr>
        <w:t>.</w:t>
      </w:r>
      <w:r w:rsidR="00421B84">
        <w:rPr>
          <w:sz w:val="28"/>
          <w:szCs w:val="28"/>
        </w:rPr>
        <w:t>Романченко</w:t>
      </w:r>
    </w:p>
    <w:sectPr w:rsidR="00FC5D42" w:rsidSect="00FC5D42">
      <w:footerReference w:type="default" r:id="rId10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4B" w:rsidRDefault="0089064B" w:rsidP="00FC5D42">
      <w:r>
        <w:separator/>
      </w:r>
    </w:p>
  </w:endnote>
  <w:endnote w:type="continuationSeparator" w:id="1">
    <w:p w:rsidR="0089064B" w:rsidRDefault="0089064B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E" w:rsidRDefault="00CD2B8E">
    <w:pPr>
      <w:pStyle w:val="afc"/>
      <w:ind w:right="360"/>
      <w:rPr>
        <w:lang w:val="en-US"/>
      </w:rPr>
    </w:pPr>
    <w:r w:rsidRPr="00091CF8">
      <w:rPr>
        <w:lang w:val="en-US"/>
      </w:rPr>
      <w:pict>
        <v:rect id="Врезка3" o:spid="_x0000_s2049" style="position:absolute;margin-left:662.5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CD2B8E" w:rsidRDefault="00CD2B8E">
                <w:pPr>
                  <w:pStyle w:val="afc"/>
                  <w:rPr>
                    <w:color w:val="000000"/>
                  </w:rPr>
                </w:pPr>
                <w:r w:rsidRPr="00091CF8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4B" w:rsidRDefault="0089064B" w:rsidP="00FC5D42">
      <w:r>
        <w:separator/>
      </w:r>
    </w:p>
  </w:footnote>
  <w:footnote w:type="continuationSeparator" w:id="1">
    <w:p w:rsidR="0089064B" w:rsidRDefault="0089064B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91CF8"/>
    <w:rsid w:val="0010286C"/>
    <w:rsid w:val="002B10A1"/>
    <w:rsid w:val="003F035E"/>
    <w:rsid w:val="00421B84"/>
    <w:rsid w:val="005B4355"/>
    <w:rsid w:val="00734C18"/>
    <w:rsid w:val="007E2A89"/>
    <w:rsid w:val="0089064B"/>
    <w:rsid w:val="008A0EE5"/>
    <w:rsid w:val="009B68AA"/>
    <w:rsid w:val="00A059BF"/>
    <w:rsid w:val="00A24551"/>
    <w:rsid w:val="00BE2C53"/>
    <w:rsid w:val="00C07943"/>
    <w:rsid w:val="00CD2B8E"/>
    <w:rsid w:val="00FC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dc:description/>
  <cp:lastModifiedBy>ПК</cp:lastModifiedBy>
  <cp:revision>41</cp:revision>
  <cp:lastPrinted>2018-10-24T06:21:00Z</cp:lastPrinted>
  <dcterms:created xsi:type="dcterms:W3CDTF">2018-10-18T05:42:00Z</dcterms:created>
  <dcterms:modified xsi:type="dcterms:W3CDTF">2018-12-04T12:56:00Z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